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黑体" w:hAnsi="黑体" w:eastAsia="黑体" w:cs="仿宋_GB2312"/>
          <w:bCs/>
          <w:iCs/>
          <w:szCs w:val="32"/>
        </w:rPr>
      </w:pPr>
      <w:r>
        <w:rPr>
          <w:rFonts w:hint="eastAsia" w:ascii="黑体" w:hAnsi="黑体" w:eastAsia="黑体" w:cs="仿宋_GB2312"/>
          <w:bCs/>
          <w:iCs/>
          <w:szCs w:val="32"/>
        </w:rPr>
        <w:t>附件</w:t>
      </w:r>
      <w:r>
        <w:rPr>
          <w:rFonts w:ascii="黑体" w:hAnsi="黑体" w:eastAsia="黑体" w:cs="仿宋_GB2312"/>
          <w:bCs/>
          <w:iCs/>
          <w:szCs w:val="32"/>
        </w:rPr>
        <w:t>2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568"/>
        <w:jc w:val="center"/>
        <w:rPr>
          <w:rFonts w:ascii="宋体" w:hAnsi="宋体" w:eastAsia="宋体" w:cs="仿宋_GB2312"/>
          <w:b/>
          <w:iCs/>
          <w:sz w:val="44"/>
          <w:szCs w:val="44"/>
        </w:rPr>
      </w:pPr>
      <w:r>
        <w:rPr>
          <w:rFonts w:hint="eastAsia" w:ascii="宋体" w:hAnsi="宋体" w:eastAsia="宋体" w:cs="仿宋_GB2312"/>
          <w:b/>
          <w:iCs/>
          <w:sz w:val="44"/>
          <w:szCs w:val="44"/>
        </w:rPr>
        <w:t>案例遴选标准</w:t>
      </w:r>
    </w:p>
    <w:tbl>
      <w:tblPr>
        <w:tblStyle w:val="2"/>
        <w:tblpPr w:leftFromText="180" w:rightFromText="180" w:vertAnchor="text" w:horzAnchor="margin" w:tblpXSpec="center" w:tblpY="22"/>
        <w:tblW w:w="9715" w:type="dxa"/>
        <w:jc w:val="center"/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567"/>
        <w:gridCol w:w="992"/>
        <w:gridCol w:w="7173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  <w:t>评估项目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7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严于术前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（10分）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急症管理</w:t>
            </w:r>
          </w:p>
        </w:tc>
        <w:tc>
          <w:tcPr>
            <w:tcW w:w="7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院前及急诊室处置；院前处置措施。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术前诊断</w:t>
            </w:r>
          </w:p>
        </w:tc>
        <w:tc>
          <w:tcPr>
            <w:tcW w:w="7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患者的诊断、鉴别诊断及其依据。手术指征判定，治疗方式考量，循证医学依据充分、准确。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慎于术中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（60分）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定位方法</w:t>
            </w:r>
          </w:p>
        </w:tc>
        <w:tc>
          <w:tcPr>
            <w:tcW w:w="7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术前定位方法合理，正确定位到血肿区域，并区分出附近重要的神经、组织。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入路选择</w:t>
            </w:r>
          </w:p>
        </w:tc>
        <w:tc>
          <w:tcPr>
            <w:tcW w:w="7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入路选择合理、切口符合微创原理，且术野暴露充分。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建立通道</w:t>
            </w:r>
          </w:p>
        </w:tc>
        <w:tc>
          <w:tcPr>
            <w:tcW w:w="7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通道建立过程标准规范，可视化操作、柔性牵开优先。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血肿清除</w:t>
            </w:r>
          </w:p>
        </w:tc>
        <w:tc>
          <w:tcPr>
            <w:tcW w:w="7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清除技巧：器械操作配合熟练、顺畅；视野暴露清晰。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10</w:t>
            </w: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</w:p>
        </w:tc>
        <w:tc>
          <w:tcPr>
            <w:tcW w:w="7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最大程度保护脑组织。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10</w:t>
            </w: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</w:p>
        </w:tc>
        <w:tc>
          <w:tcPr>
            <w:tcW w:w="7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血肿清除率：在尽可能保护脑组织的原则下，最大程度清除血肿，记录血肿清除率。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止血操作</w:t>
            </w:r>
          </w:p>
        </w:tc>
        <w:tc>
          <w:tcPr>
            <w:tcW w:w="7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止血操作合理：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1）对于责任血管出血选择双极电凝操作，同时避免损伤脑组织。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2）对于术腔渗血选用合适的止血材料有效止血。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9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善于术后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（15）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重症管理</w:t>
            </w:r>
          </w:p>
        </w:tc>
        <w:tc>
          <w:tcPr>
            <w:tcW w:w="7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术后多模态监测；关键指标管理规范；颅内压管理规范；术后引流管理规范；有充足的预防感染的措施；有合理的术后康复方案等。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预后及随访</w:t>
            </w:r>
          </w:p>
        </w:tc>
        <w:tc>
          <w:tcPr>
            <w:tcW w:w="7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有完整的预后预测和评估，有完整的随访。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并发症处理</w:t>
            </w:r>
          </w:p>
        </w:tc>
        <w:tc>
          <w:tcPr>
            <w:tcW w:w="7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相关并发症的处理。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综合技巧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（5分）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视频制作</w:t>
            </w:r>
          </w:p>
        </w:tc>
        <w:tc>
          <w:tcPr>
            <w:tcW w:w="7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16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20"/>
              </w:rPr>
              <w:t>视频制作清晰，专业。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587" w:right="1588" w:bottom="1588" w:left="158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TA3NWQwMjUzZjJhMzQzMzcyODgwNGVhYmQ1ZDgifQ=="/>
  </w:docVars>
  <w:rsids>
    <w:rsidRoot w:val="00000000"/>
    <w:rsid w:val="28E5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2024-07-01T01:54:58Z</dcterms:created>
  <dc:creator>user</dc:creator>
  <cp:lastModifiedBy>杨顺舟</cp:lastModifiedBy>
  <dcterms:modified xsi:type="dcterms:W3CDTF">2024-07-01T01:55:18Z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BE052A6522944173AAE408235072BBD2_12</vt:lpwstr>
  </property>
</Properties>
</file>