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afterLines="0" w:line="400" w:lineRule="exact"/>
        <w:rPr>
          <w:rFonts w:hint="eastAsia" w:ascii="宋体" w:hAnsi="宋体" w:eastAsia="宋体"/>
          <w:b/>
          <w:sz w:val="36"/>
          <w:szCs w:val="36"/>
        </w:rPr>
      </w:pPr>
      <w:bookmarkStart w:id="0" w:name="_Hlk92111768"/>
    </w:p>
    <w:p>
      <w:pPr>
        <w:spacing w:beforeLines="0" w:afterLines="0" w:line="400" w:lineRule="exact"/>
        <w:jc w:val="center"/>
        <w:rPr>
          <w:rFonts w:hint="eastAsia" w:ascii="宋体" w:hAnsi="宋体" w:eastAsia="宋体"/>
          <w:b/>
          <w:sz w:val="36"/>
          <w:szCs w:val="36"/>
        </w:rPr>
      </w:pPr>
      <w:bookmarkStart w:id="4" w:name="_GoBack"/>
      <w:bookmarkEnd w:id="4"/>
    </w:p>
    <w:p>
      <w:pPr>
        <w:spacing w:beforeLines="0" w:afterLines="0" w:line="400" w:lineRule="exact"/>
        <w:jc w:val="center"/>
        <w:rPr>
          <w:rFonts w:hint="eastAsia" w:ascii="宋体" w:hAnsi="宋体" w:eastAsia="宋体"/>
          <w:b/>
          <w:sz w:val="36"/>
          <w:szCs w:val="36"/>
        </w:rPr>
      </w:pPr>
      <w:r>
        <w:rPr>
          <w:rFonts w:hint="eastAsia" w:ascii="宋体" w:hAnsi="宋体" w:eastAsia="宋体"/>
          <w:b/>
          <w:sz w:val="36"/>
          <w:szCs w:val="36"/>
        </w:rPr>
        <w:t>集中调配是我国静脉用药最佳调配工作模式</w:t>
      </w:r>
    </w:p>
    <w:p>
      <w:pPr>
        <w:spacing w:beforeLines="0" w:afterLines="0" w:line="400" w:lineRule="exact"/>
        <w:rPr>
          <w:rFonts w:hint="eastAsia" w:ascii="宋体" w:hAnsi="宋体" w:eastAsia="宋体"/>
          <w:b/>
          <w:sz w:val="28"/>
          <w:szCs w:val="28"/>
        </w:rPr>
      </w:pPr>
    </w:p>
    <w:p>
      <w:pPr>
        <w:spacing w:beforeLines="0" w:afterLines="0"/>
        <w:jc w:val="center"/>
        <w:rPr>
          <w:rFonts w:hint="eastAsia" w:ascii="宋体" w:hAnsi="宋体" w:eastAsia="宋体" w:cs="宋体"/>
          <w:sz w:val="24"/>
          <w:szCs w:val="24"/>
        </w:rPr>
      </w:pPr>
      <w:bookmarkStart w:id="1" w:name="_Hlk79755910"/>
      <w:r>
        <w:rPr>
          <w:rFonts w:hint="eastAsia" w:ascii="宋体" w:hAnsi="宋体" w:eastAsia="宋体" w:cs="宋体"/>
          <w:sz w:val="24"/>
          <w:szCs w:val="24"/>
        </w:rPr>
        <w:t>（国家卫生健康委医院管理研究所）</w:t>
      </w:r>
    </w:p>
    <w:p>
      <w:pPr>
        <w:spacing w:beforeLines="0" w:afterLines="0"/>
        <w:jc w:val="center"/>
        <w:rPr>
          <w:rFonts w:hint="eastAsia" w:ascii="宋体" w:hAnsi="宋体" w:eastAsia="宋体" w:cs="宋体"/>
          <w:sz w:val="24"/>
          <w:szCs w:val="24"/>
        </w:rPr>
      </w:pPr>
      <w:r>
        <w:rPr>
          <w:rFonts w:hint="eastAsia" w:ascii="宋体" w:hAnsi="宋体" w:eastAsia="宋体" w:cs="宋体"/>
          <w:sz w:val="24"/>
          <w:szCs w:val="24"/>
        </w:rPr>
        <w:t>吴永佩   颜青    孙路路  吕红梅</w:t>
      </w:r>
    </w:p>
    <w:p>
      <w:pPr>
        <w:spacing w:beforeLines="0" w:afterLines="0"/>
        <w:jc w:val="center"/>
        <w:rPr>
          <w:rFonts w:hint="eastAsia" w:ascii="宋体" w:hAnsi="宋体" w:eastAsia="宋体" w:cs="宋体"/>
          <w:sz w:val="24"/>
          <w:szCs w:val="24"/>
        </w:rPr>
      </w:pPr>
      <w:r>
        <w:rPr>
          <w:rFonts w:hint="eastAsia" w:ascii="宋体" w:hAnsi="宋体" w:eastAsia="宋体" w:cs="宋体"/>
          <w:sz w:val="24"/>
          <w:szCs w:val="24"/>
        </w:rPr>
        <w:t>电话：13693668277    邮箱:yaoshi66@126.com</w:t>
      </w:r>
    </w:p>
    <w:p>
      <w:pPr>
        <w:spacing w:beforeLines="0" w:afterLines="0" w:line="400" w:lineRule="exact"/>
        <w:rPr>
          <w:rFonts w:hint="eastAsia" w:ascii="宋体" w:hAnsi="宋体" w:eastAsia="宋体"/>
          <w:sz w:val="28"/>
          <w:szCs w:val="28"/>
        </w:rPr>
      </w:pPr>
    </w:p>
    <w:p>
      <w:pPr>
        <w:spacing w:beforeLines="0" w:afterLines="0" w:line="400" w:lineRule="exact"/>
        <w:rPr>
          <w:rFonts w:hint="eastAsia" w:ascii="楷体" w:hAnsi="楷体" w:eastAsia="楷体"/>
          <w:sz w:val="24"/>
          <w:szCs w:val="24"/>
        </w:rPr>
      </w:pPr>
      <w:bookmarkStart w:id="2" w:name="_Hlk48462479"/>
      <w:r>
        <w:rPr>
          <w:rFonts w:hint="eastAsia" w:ascii="楷体" w:hAnsi="楷体" w:eastAsia="楷体"/>
          <w:b/>
          <w:sz w:val="24"/>
          <w:szCs w:val="24"/>
        </w:rPr>
        <w:t>【</w:t>
      </w:r>
      <w:r>
        <w:rPr>
          <w:rFonts w:hint="eastAsia" w:ascii="宋体" w:hAnsi="宋体" w:eastAsia="宋体"/>
          <w:sz w:val="24"/>
          <w:szCs w:val="24"/>
        </w:rPr>
        <w:t>摘要</w:t>
      </w:r>
      <w:r>
        <w:rPr>
          <w:rFonts w:hint="eastAsia" w:ascii="楷体" w:hAnsi="楷体" w:eastAsia="楷体"/>
          <w:b/>
          <w:sz w:val="24"/>
          <w:szCs w:val="24"/>
        </w:rPr>
        <w:t>】</w:t>
      </w:r>
      <w:r>
        <w:rPr>
          <w:rFonts w:hint="eastAsia" w:ascii="宋体" w:hAnsi="宋体" w:eastAsia="宋体"/>
          <w:b/>
          <w:sz w:val="24"/>
          <w:szCs w:val="24"/>
        </w:rPr>
        <w:t>目的：</w:t>
      </w:r>
      <w:r>
        <w:rPr>
          <w:rFonts w:hint="eastAsia" w:ascii="宋体" w:hAnsi="宋体" w:eastAsia="宋体"/>
          <w:sz w:val="24"/>
          <w:szCs w:val="24"/>
        </w:rPr>
        <w:t>为促进我国静脉用药集中调配与供应工作模式的建设和发展，加速静脉用药调配中心健康发展，确保成品输液质量，防范输液治疗风险，提升合理用药意识。</w:t>
      </w:r>
      <w:r>
        <w:rPr>
          <w:rFonts w:hint="eastAsia" w:ascii="宋体" w:hAnsi="宋体" w:eastAsia="宋体"/>
          <w:b/>
          <w:sz w:val="24"/>
          <w:szCs w:val="24"/>
        </w:rPr>
        <w:t>方法：</w:t>
      </w:r>
      <w:r>
        <w:rPr>
          <w:rFonts w:hint="eastAsia" w:ascii="宋体" w:hAnsi="宋体" w:eastAsia="宋体"/>
          <w:sz w:val="24"/>
          <w:szCs w:val="24"/>
        </w:rPr>
        <w:t>通过分析我国是人口大国、医院多规模大、输液用量大、使用各种静脉小针剂品种多、用量大和加药调配专业技术要求高等基本国情特点，论述传统静脉用药调配工作模式的弊端和集中调配静脉用药工作模式的优点。</w:t>
      </w:r>
      <w:r>
        <w:rPr>
          <w:rFonts w:hint="eastAsia" w:ascii="宋体" w:hAnsi="宋体" w:eastAsia="宋体"/>
          <w:b/>
          <w:sz w:val="24"/>
          <w:szCs w:val="24"/>
        </w:rPr>
        <w:t>结果：</w:t>
      </w:r>
      <w:r>
        <w:rPr>
          <w:rFonts w:hint="eastAsia" w:ascii="宋体" w:hAnsi="宋体" w:eastAsia="宋体"/>
          <w:sz w:val="24"/>
          <w:szCs w:val="24"/>
        </w:rPr>
        <w:t>证实集中调配工作模式是我国静脉输液调配发展趋势。</w:t>
      </w:r>
      <w:r>
        <w:rPr>
          <w:rFonts w:hint="eastAsia" w:ascii="宋体" w:hAnsi="宋体" w:eastAsia="宋体"/>
          <w:b/>
          <w:sz w:val="24"/>
          <w:szCs w:val="24"/>
        </w:rPr>
        <w:t>结论：</w:t>
      </w:r>
      <w:r>
        <w:rPr>
          <w:rFonts w:hint="eastAsia" w:ascii="宋体" w:hAnsi="宋体" w:eastAsia="宋体"/>
          <w:sz w:val="24"/>
          <w:szCs w:val="24"/>
        </w:rPr>
        <w:t>由药师负责的静脉用药集中调配工作模式，因工艺科学、技术先进、流程顺畅，便于规范化管理，降低输液反应发生率，拦截用药错误，保证成品输液质量，是我国医院静脉用药调配工作必然发展方向。</w:t>
      </w:r>
    </w:p>
    <w:p>
      <w:pPr>
        <w:spacing w:beforeLines="0" w:afterLines="0" w:line="400" w:lineRule="exact"/>
        <w:ind w:left="-2"/>
        <w:rPr>
          <w:rFonts w:hint="eastAsia" w:ascii="宋体" w:hAnsi="宋体" w:eastAsia="宋体" w:cs="AdobeHeitiStd-Regular"/>
          <w:kern w:val="0"/>
          <w:sz w:val="24"/>
          <w:szCs w:val="24"/>
        </w:rPr>
      </w:pPr>
      <w:r>
        <w:rPr>
          <w:rFonts w:hint="eastAsia" w:ascii="楷体" w:hAnsi="楷体" w:eastAsia="楷体" w:cs="AdobeHeitiStd-Regular"/>
          <w:b/>
          <w:kern w:val="0"/>
          <w:sz w:val="24"/>
          <w:szCs w:val="24"/>
        </w:rPr>
        <w:t>【</w:t>
      </w:r>
      <w:r>
        <w:rPr>
          <w:rFonts w:hint="eastAsia" w:ascii="宋体" w:hAnsi="宋体" w:eastAsia="宋体"/>
          <w:sz w:val="24"/>
          <w:szCs w:val="24"/>
        </w:rPr>
        <w:t>关键词</w:t>
      </w:r>
      <w:r>
        <w:rPr>
          <w:rFonts w:hint="eastAsia" w:ascii="楷体" w:hAnsi="楷体" w:eastAsia="楷体" w:cs="AdobeHeitiStd-Regular"/>
          <w:b/>
          <w:kern w:val="0"/>
          <w:sz w:val="24"/>
          <w:szCs w:val="24"/>
        </w:rPr>
        <w:t>】</w:t>
      </w:r>
      <w:r>
        <w:rPr>
          <w:rFonts w:hint="eastAsia" w:ascii="宋体" w:hAnsi="宋体" w:eastAsia="宋体"/>
          <w:sz w:val="24"/>
          <w:szCs w:val="24"/>
        </w:rPr>
        <w:t>传统调配工作模式；静脉用药集中调配工作模式；静脉用药调配中心；用药医嘱审核；</w:t>
      </w:r>
      <w:r>
        <w:rPr>
          <w:rFonts w:hint="eastAsia" w:ascii="宋体" w:hAnsi="宋体" w:eastAsia="宋体" w:cs="宋体"/>
          <w:sz w:val="24"/>
          <w:szCs w:val="24"/>
        </w:rPr>
        <w:t>核心工作制度</w:t>
      </w:r>
    </w:p>
    <w:bookmarkEnd w:id="2"/>
    <w:p>
      <w:pPr>
        <w:spacing w:beforeLines="0" w:afterLines="0" w:line="400" w:lineRule="exact"/>
        <w:rPr>
          <w:rFonts w:hint="eastAsia" w:ascii="宋体" w:hAnsi="宋体" w:eastAsia="宋体"/>
          <w:sz w:val="24"/>
          <w:szCs w:val="24"/>
        </w:rPr>
      </w:pPr>
    </w:p>
    <w:bookmarkEnd w:id="1"/>
    <w:p>
      <w:pPr>
        <w:spacing w:beforeLines="0" w:afterLines="0" w:line="400" w:lineRule="exact"/>
        <w:ind w:firstLine="480" w:firstLineChars="200"/>
        <w:rPr>
          <w:rFonts w:hint="eastAsia" w:ascii="宋体" w:hAnsi="宋体" w:eastAsia="宋体"/>
          <w:sz w:val="24"/>
          <w:szCs w:val="24"/>
        </w:rPr>
      </w:pPr>
      <w:r>
        <w:rPr>
          <w:rFonts w:hint="eastAsia" w:ascii="宋体" w:hAnsi="宋体" w:eastAsia="宋体"/>
          <w:sz w:val="24"/>
          <w:szCs w:val="24"/>
        </w:rPr>
        <w:t>静脉给药是治疗疾病的常用手段，特点是药物吸收好、起效快、生物利用度高、且较易控制血药浓度而受到临床普遍采用。把好输液用药安全关，一是要保证静脉用药品和基础输液质量；二是要遴选适宜的药品、剂型、给药剂量、给药途径，评估其利弊；三是</w:t>
      </w:r>
      <w:r>
        <w:rPr>
          <w:rFonts w:hint="eastAsia" w:ascii="Times New Roman" w:hAnsi="Times New Roman" w:eastAsia="宋体"/>
          <w:sz w:val="24"/>
          <w:szCs w:val="24"/>
        </w:rPr>
        <w:t>严格执行静脉用药集中调配操作规程。本文重点讨论</w:t>
      </w:r>
      <w:r>
        <w:rPr>
          <w:rFonts w:hint="eastAsia" w:ascii="宋体" w:hAnsi="宋体" w:eastAsia="宋体"/>
          <w:sz w:val="24"/>
          <w:szCs w:val="24"/>
        </w:rPr>
        <w:t>确保成品输液质量，采用静脉用药集中调配工作模式是最佳途径。</w:t>
      </w:r>
    </w:p>
    <w:p>
      <w:pPr>
        <w:spacing w:beforeLines="0" w:afterLines="0" w:line="400" w:lineRule="exact"/>
        <w:rPr>
          <w:rFonts w:hint="eastAsia" w:ascii="宋体" w:hAnsi="宋体" w:eastAsia="宋体"/>
          <w:b/>
          <w:sz w:val="24"/>
          <w:szCs w:val="24"/>
        </w:rPr>
      </w:pPr>
      <w:r>
        <w:rPr>
          <w:rFonts w:hint="eastAsia" w:ascii="宋体" w:hAnsi="宋体" w:eastAsia="宋体"/>
          <w:b/>
          <w:sz w:val="24"/>
          <w:szCs w:val="24"/>
        </w:rPr>
        <w:t>1  静脉用药集中调配工作模式概述</w:t>
      </w:r>
    </w:p>
    <w:p>
      <w:pPr>
        <w:spacing w:beforeLines="0" w:afterLines="0" w:line="400" w:lineRule="exact"/>
        <w:rPr>
          <w:rFonts w:hint="eastAsia" w:ascii="宋体" w:hAnsi="宋体" w:eastAsia="宋体"/>
          <w:b/>
          <w:sz w:val="24"/>
          <w:szCs w:val="24"/>
        </w:rPr>
      </w:pPr>
      <w:r>
        <w:rPr>
          <w:rFonts w:hint="eastAsia" w:ascii="宋体" w:hAnsi="宋体" w:eastAsia="宋体"/>
          <w:b/>
          <w:sz w:val="24"/>
          <w:szCs w:val="24"/>
        </w:rPr>
        <w:t xml:space="preserve">1.1 </w:t>
      </w:r>
      <w:bookmarkStart w:id="3" w:name="_Hlk79756169"/>
      <w:r>
        <w:rPr>
          <w:rFonts w:hint="eastAsia" w:ascii="宋体" w:hAnsi="宋体" w:eastAsia="宋体"/>
          <w:b/>
          <w:sz w:val="24"/>
          <w:szCs w:val="24"/>
        </w:rPr>
        <w:t>静脉用药调配中心含义</w:t>
      </w:r>
      <w:bookmarkEnd w:id="3"/>
    </w:p>
    <w:p>
      <w:pPr>
        <w:pStyle w:val="2"/>
        <w:spacing w:beforeLines="0" w:afterLines="0" w:line="400" w:lineRule="exact"/>
        <w:ind w:firstLine="480" w:firstLineChars="200"/>
        <w:jc w:val="both"/>
        <w:rPr>
          <w:rFonts w:hint="eastAsia" w:ascii="宋体" w:hAnsi="宋体" w:eastAsia="宋体"/>
          <w:sz w:val="24"/>
          <w:szCs w:val="24"/>
        </w:rPr>
      </w:pPr>
      <w:r>
        <w:rPr>
          <w:rFonts w:hint="eastAsia" w:ascii="宋体" w:hAnsi="宋体" w:eastAsia="宋体"/>
          <w:sz w:val="24"/>
          <w:szCs w:val="24"/>
        </w:rPr>
        <w:t>静脉用药调配中心</w:t>
      </w:r>
      <w:r>
        <w:rPr>
          <w:rFonts w:hint="eastAsia" w:ascii="Times New Roman" w:hAnsi="Times New Roman" w:eastAsia="宋体"/>
          <w:sz w:val="24"/>
          <w:szCs w:val="24"/>
        </w:rPr>
        <w:t>（</w:t>
      </w:r>
      <w:r>
        <w:rPr>
          <w:rFonts w:hint="default" w:ascii="Times New Roman" w:hAnsi="Times New Roman" w:eastAsia="宋体"/>
          <w:sz w:val="24"/>
          <w:szCs w:val="24"/>
        </w:rPr>
        <w:t>Pharmacy intravenous admixture service</w:t>
      </w:r>
      <w:r>
        <w:rPr>
          <w:rFonts w:hint="eastAsia" w:ascii="Times New Roman" w:hAnsi="Times New Roman" w:eastAsia="宋体"/>
          <w:sz w:val="24"/>
          <w:szCs w:val="24"/>
        </w:rPr>
        <w:t>，</w:t>
      </w:r>
      <w:r>
        <w:rPr>
          <w:rFonts w:hint="default" w:ascii="Times New Roman" w:hAnsi="Times New Roman" w:eastAsia="宋体"/>
          <w:sz w:val="24"/>
          <w:szCs w:val="24"/>
        </w:rPr>
        <w:t>PIVAS</w:t>
      </w:r>
      <w:r>
        <w:rPr>
          <w:rFonts w:hint="eastAsia" w:ascii="Times New Roman" w:hAnsi="Times New Roman" w:eastAsia="宋体"/>
          <w:sz w:val="24"/>
          <w:szCs w:val="24"/>
        </w:rPr>
        <w:t>，以下简称静配中心）是医院药学部门静脉用药集中调配枝术部门，是药学服务的重要组成部分。P</w:t>
      </w:r>
      <w:r>
        <w:rPr>
          <w:rFonts w:hint="default" w:ascii="Times New Roman" w:hAnsi="Times New Roman" w:eastAsia="宋体"/>
          <w:sz w:val="24"/>
          <w:szCs w:val="24"/>
        </w:rPr>
        <w:t>IVAS</w:t>
      </w:r>
      <w:r>
        <w:rPr>
          <w:rFonts w:hint="eastAsia" w:ascii="Times New Roman" w:hAnsi="Times New Roman" w:eastAsia="宋体"/>
          <w:sz w:val="24"/>
          <w:szCs w:val="24"/>
        </w:rPr>
        <w:t>承担医院静脉输液的用药医嘱审核干预与点评、加药混合调配、用药咨询、质量控制、参与输液治疗管理和使用评估等药学专业技术服务工作，为临床提供可直接静脉滴注使</w:t>
      </w:r>
      <w:r>
        <w:rPr>
          <w:rFonts w:hint="eastAsia" w:ascii="宋体" w:hAnsi="宋体" w:eastAsia="宋体"/>
          <w:sz w:val="24"/>
          <w:szCs w:val="24"/>
        </w:rPr>
        <w:t>细胞毒药物、抗生素等对配置者自身和周边环境有危害</w:t>
      </w:r>
      <w:r>
        <w:rPr>
          <w:rFonts w:hint="eastAsia" w:ascii="宋体" w:hAnsi="宋体" w:eastAsia="宋体"/>
          <w:color w:val="000000"/>
          <w:sz w:val="24"/>
          <w:szCs w:val="24"/>
          <w:vertAlign w:val="superscript"/>
        </w:rPr>
        <w:t>[</w:t>
      </w:r>
      <w:r>
        <w:rPr>
          <w:rFonts w:hint="eastAsia" w:ascii="宋体" w:hAnsi="宋体" w:eastAsia="宋体"/>
          <w:color w:val="000000"/>
          <w:sz w:val="24"/>
          <w:szCs w:val="24"/>
          <w:vertAlign w:val="superscript"/>
          <w:lang w:val="en-US" w:eastAsia="zh-CN"/>
        </w:rPr>
        <w:t>1</w:t>
      </w:r>
      <w:r>
        <w:rPr>
          <w:rFonts w:hint="eastAsia" w:ascii="宋体" w:hAnsi="宋体" w:eastAsia="宋体"/>
          <w:color w:val="000000"/>
          <w:sz w:val="24"/>
          <w:szCs w:val="24"/>
          <w:vertAlign w:val="superscript"/>
        </w:rPr>
        <w:t>]</w:t>
      </w:r>
      <w:r>
        <w:rPr>
          <w:rFonts w:hint="eastAsia" w:ascii="宋体" w:hAnsi="宋体" w:eastAsia="宋体"/>
          <w:sz w:val="24"/>
          <w:szCs w:val="24"/>
        </w:rPr>
        <w:t>。</w:t>
      </w:r>
      <w:r>
        <w:rPr>
          <w:rFonts w:hint="eastAsia" w:ascii="宋体" w:hAnsi="宋体" w:eastAsia="宋体"/>
          <w:sz w:val="24"/>
          <w:szCs w:val="24"/>
          <w:lang w:eastAsia="zh-CN"/>
        </w:rPr>
        <w:t>（</w:t>
      </w:r>
      <w:r>
        <w:rPr>
          <w:rFonts w:hint="eastAsia" w:ascii="宋体" w:hAnsi="宋体" w:eastAsia="宋体"/>
          <w:sz w:val="24"/>
          <w:szCs w:val="24"/>
        </w:rPr>
        <w:t>略</w:t>
      </w:r>
      <w:r>
        <w:rPr>
          <w:rFonts w:hint="eastAsia" w:ascii="宋体" w:hAnsi="宋体" w:eastAsia="宋体"/>
          <w:sz w:val="24"/>
          <w:szCs w:val="24"/>
          <w:lang w:eastAsia="zh-CN"/>
        </w:rPr>
        <w:t>）</w:t>
      </w:r>
    </w:p>
    <w:bookmarkEnd w:id="0"/>
    <w:p>
      <w:pPr>
        <w:spacing w:beforeLines="0" w:afterLines="0" w:line="400" w:lineRule="exact"/>
        <w:rPr>
          <w:rFonts w:hint="eastAsia" w:ascii="宋体" w:hAnsi="宋体" w:eastAsia="宋体"/>
          <w:b/>
          <w:sz w:val="24"/>
          <w:szCs w:val="24"/>
        </w:rPr>
      </w:pPr>
    </w:p>
    <w:p>
      <w:pPr>
        <w:spacing w:beforeLines="0" w:afterLines="0" w:line="400" w:lineRule="exact"/>
        <w:rPr>
          <w:rFonts w:hint="eastAsia" w:ascii="宋体" w:hAnsi="宋体" w:eastAsia="宋体"/>
          <w:b/>
          <w:sz w:val="24"/>
          <w:szCs w:val="24"/>
        </w:rPr>
      </w:pPr>
      <w:r>
        <w:rPr>
          <w:rFonts w:hint="eastAsia" w:ascii="宋体" w:hAnsi="宋体" w:eastAsia="宋体"/>
          <w:b/>
          <w:sz w:val="24"/>
          <w:szCs w:val="24"/>
        </w:rPr>
        <w:t>参考文献</w:t>
      </w:r>
    </w:p>
    <w:p>
      <w:pPr>
        <w:spacing w:beforeLines="0" w:afterLines="0" w:line="400" w:lineRule="exact"/>
        <w:rPr>
          <w:rFonts w:hint="eastAsia" w:ascii="仿宋_GB2312" w:hAnsi="仿宋" w:eastAsia="仿宋_GB2312"/>
          <w:color w:val="000000"/>
          <w:sz w:val="32"/>
          <w:szCs w:val="32"/>
        </w:rPr>
      </w:pPr>
      <w:r>
        <w:rPr>
          <w:rFonts w:hint="eastAsia" w:ascii="宋体" w:hAnsi="宋体" w:eastAsia="宋体"/>
          <w:color w:val="auto"/>
          <w:sz w:val="24"/>
          <w:szCs w:val="24"/>
        </w:rPr>
        <w:t>[1]</w:t>
      </w:r>
      <w:r>
        <w:rPr>
          <w:rFonts w:hint="eastAsia" w:ascii="宋体" w:hAnsi="宋体" w:eastAsia="宋体" w:cs="宋体"/>
          <w:color w:val="auto"/>
          <w:sz w:val="24"/>
          <w:szCs w:val="24"/>
        </w:rPr>
        <w:t>吕红梅，颜青，吴永佩.静脉用药质量管理与患者安全用药[J].中国医院，2014，2（18）：10-13.</w:t>
      </w:r>
    </w:p>
    <w:sectPr>
      <w:footerReference r:id="rId3" w:type="default"/>
      <w:pgSz w:w="11906" w:h="16838"/>
      <w:pgMar w:top="720" w:right="1418" w:bottom="720" w:left="1418" w:header="851" w:footer="992" w:gutter="0"/>
      <w:lnNumType w:countBy="0" w:distance="36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新宋体">
    <w:panose1 w:val="02010609030101010101"/>
    <w:charset w:val="86"/>
    <w:family w:val="modern"/>
    <w:pitch w:val="default"/>
    <w:sig w:usb0="0000028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 w:name="AdobeHeitiStd-Regular">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beforeLines="0" w:afterLines="0"/>
      <w:rPr>
        <w:rFonts w:hint="eastAsia"/>
        <w:sz w:val="18"/>
        <w:szCs w:val="1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60C17"/>
    <w:rsid w:val="00063791"/>
    <w:rsid w:val="00073BD0"/>
    <w:rsid w:val="000839A5"/>
    <w:rsid w:val="000A651D"/>
    <w:rsid w:val="000B0AEC"/>
    <w:rsid w:val="000C2E5F"/>
    <w:rsid w:val="000E65AF"/>
    <w:rsid w:val="00132CB8"/>
    <w:rsid w:val="00134740"/>
    <w:rsid w:val="001939A0"/>
    <w:rsid w:val="001D1A0A"/>
    <w:rsid w:val="00276922"/>
    <w:rsid w:val="00281583"/>
    <w:rsid w:val="00287E56"/>
    <w:rsid w:val="002B3FC6"/>
    <w:rsid w:val="002B4060"/>
    <w:rsid w:val="002D1B8D"/>
    <w:rsid w:val="003174F2"/>
    <w:rsid w:val="00331EAB"/>
    <w:rsid w:val="00340678"/>
    <w:rsid w:val="003945B4"/>
    <w:rsid w:val="003C7428"/>
    <w:rsid w:val="004A771D"/>
    <w:rsid w:val="004B560A"/>
    <w:rsid w:val="004E093F"/>
    <w:rsid w:val="004F0647"/>
    <w:rsid w:val="00553845"/>
    <w:rsid w:val="005D5BD8"/>
    <w:rsid w:val="005D76CC"/>
    <w:rsid w:val="005E012E"/>
    <w:rsid w:val="005E7FC6"/>
    <w:rsid w:val="0062567C"/>
    <w:rsid w:val="006759E3"/>
    <w:rsid w:val="00675A67"/>
    <w:rsid w:val="006A0321"/>
    <w:rsid w:val="006C1F27"/>
    <w:rsid w:val="006D61B9"/>
    <w:rsid w:val="00701670"/>
    <w:rsid w:val="0077524F"/>
    <w:rsid w:val="0078791D"/>
    <w:rsid w:val="007A6D18"/>
    <w:rsid w:val="007E6CE7"/>
    <w:rsid w:val="0080708F"/>
    <w:rsid w:val="00844C8E"/>
    <w:rsid w:val="008476E3"/>
    <w:rsid w:val="00852AD9"/>
    <w:rsid w:val="008633C2"/>
    <w:rsid w:val="0089709A"/>
    <w:rsid w:val="008B34D8"/>
    <w:rsid w:val="008B6524"/>
    <w:rsid w:val="008F15B4"/>
    <w:rsid w:val="008F382E"/>
    <w:rsid w:val="00914311"/>
    <w:rsid w:val="00937761"/>
    <w:rsid w:val="009601D7"/>
    <w:rsid w:val="00976485"/>
    <w:rsid w:val="009B6B73"/>
    <w:rsid w:val="00A057F8"/>
    <w:rsid w:val="00A13404"/>
    <w:rsid w:val="00A25BAD"/>
    <w:rsid w:val="00A51670"/>
    <w:rsid w:val="00A8436B"/>
    <w:rsid w:val="00AA49B7"/>
    <w:rsid w:val="00AB0210"/>
    <w:rsid w:val="00AE6469"/>
    <w:rsid w:val="00AF7065"/>
    <w:rsid w:val="00B017DD"/>
    <w:rsid w:val="00B10DA9"/>
    <w:rsid w:val="00B720F4"/>
    <w:rsid w:val="00BB249F"/>
    <w:rsid w:val="00BC19C9"/>
    <w:rsid w:val="00C060C0"/>
    <w:rsid w:val="00C165E0"/>
    <w:rsid w:val="00C3507D"/>
    <w:rsid w:val="00C47AFA"/>
    <w:rsid w:val="00C9544D"/>
    <w:rsid w:val="00CE1270"/>
    <w:rsid w:val="00D07F42"/>
    <w:rsid w:val="00D23E8F"/>
    <w:rsid w:val="00D92EC7"/>
    <w:rsid w:val="00DA67BD"/>
    <w:rsid w:val="00DD6EAA"/>
    <w:rsid w:val="00DF2094"/>
    <w:rsid w:val="00EF564B"/>
    <w:rsid w:val="00F05B8D"/>
    <w:rsid w:val="00F273DA"/>
    <w:rsid w:val="00F36C55"/>
    <w:rsid w:val="00F65671"/>
    <w:rsid w:val="00FB7E8B"/>
    <w:rsid w:val="00FE62B3"/>
    <w:rsid w:val="063D2F77"/>
    <w:rsid w:val="0BFF41DA"/>
    <w:rsid w:val="15016F1E"/>
    <w:rsid w:val="1800461F"/>
    <w:rsid w:val="1953134B"/>
    <w:rsid w:val="1A970925"/>
    <w:rsid w:val="1B05087D"/>
    <w:rsid w:val="1C3718B4"/>
    <w:rsid w:val="1D6E78AF"/>
    <w:rsid w:val="1DBF4224"/>
    <w:rsid w:val="264A52E5"/>
    <w:rsid w:val="2B781422"/>
    <w:rsid w:val="2C1876D7"/>
    <w:rsid w:val="320658B3"/>
    <w:rsid w:val="38D959E8"/>
    <w:rsid w:val="3AE46F6D"/>
    <w:rsid w:val="3FF26F8B"/>
    <w:rsid w:val="43233E69"/>
    <w:rsid w:val="4BD12096"/>
    <w:rsid w:val="51FB6EE5"/>
    <w:rsid w:val="535B7F65"/>
    <w:rsid w:val="54C308DF"/>
    <w:rsid w:val="5B826D93"/>
    <w:rsid w:val="5C641B58"/>
    <w:rsid w:val="64D4381F"/>
    <w:rsid w:val="76214C71"/>
    <w:rsid w:val="7EED42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iPriority="99" w:semiHidden="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nhideWhenUsed="0" w:uiPriority="0" w:semiHidden="0" w:name="macro"/>
    <w:lsdException w:uiPriority="0" w:name="toa heading"/>
    <w:lsdException w:uiPriority="0" w:name="List"/>
    <w:lsdException w:unhideWhenUsed="0" w:uiPriority="0" w:semiHidden="0" w:name="List Bullet"/>
    <w:lsdException w:unhideWhenUsed="0" w:uiPriority="0" w:semiHidden="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pPr>
      <w:spacing w:beforeLines="0" w:afterLines="0"/>
      <w:jc w:val="left"/>
    </w:pPr>
    <w:rPr>
      <w:rFonts w:hint="eastAsia"/>
      <w:sz w:val="21"/>
      <w:szCs w:val="22"/>
    </w:rPr>
  </w:style>
  <w:style w:type="paragraph" w:styleId="3">
    <w:name w:val="Balloon Text"/>
    <w:basedOn w:val="1"/>
    <w:link w:val="12"/>
    <w:qFormat/>
    <w:uiPriority w:val="0"/>
    <w:rPr>
      <w:sz w:val="18"/>
      <w:szCs w:val="18"/>
    </w:rPr>
  </w:style>
  <w:style w:type="paragraph" w:styleId="4">
    <w:name w:val="footer"/>
    <w:basedOn w:val="1"/>
    <w:link w:val="14"/>
    <w:qFormat/>
    <w:uiPriority w:val="0"/>
    <w:pPr>
      <w:tabs>
        <w:tab w:val="center" w:pos="4153"/>
        <w:tab w:val="right" w:pos="8306"/>
      </w:tabs>
      <w:snapToGrid w:val="0"/>
      <w:jc w:val="left"/>
    </w:pPr>
    <w:rPr>
      <w:sz w:val="18"/>
      <w:szCs w:val="18"/>
    </w:rPr>
  </w:style>
  <w:style w:type="paragraph" w:styleId="5">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character" w:styleId="8">
    <w:name w:val="Hyperlink"/>
    <w:basedOn w:val="7"/>
    <w:qFormat/>
    <w:uiPriority w:val="0"/>
    <w:rPr>
      <w:color w:val="0563C1" w:themeColor="hyperlink"/>
      <w:u w:val="single"/>
      <w14:textFill>
        <w14:solidFill>
          <w14:schemeClr w14:val="hlink"/>
        </w14:solidFill>
      </w14:textFill>
    </w:rPr>
  </w:style>
  <w:style w:type="character" w:customStyle="1" w:styleId="9">
    <w:name w:val="fontstyle01"/>
    <w:basedOn w:val="7"/>
    <w:qFormat/>
    <w:uiPriority w:val="0"/>
    <w:rPr>
      <w:rFonts w:hint="eastAsia" w:ascii="宋体" w:hAnsi="宋体" w:eastAsia="宋体" w:cs="宋体"/>
      <w:color w:val="000000"/>
      <w:sz w:val="44"/>
      <w:szCs w:val="44"/>
    </w:rPr>
  </w:style>
  <w:style w:type="character" w:customStyle="1" w:styleId="10">
    <w:name w:val="fontstyle21"/>
    <w:basedOn w:val="7"/>
    <w:qFormat/>
    <w:uiPriority w:val="0"/>
    <w:rPr>
      <w:rFonts w:ascii="仿宋" w:hAnsi="仿宋" w:eastAsia="仿宋" w:cs="仿宋"/>
      <w:color w:val="000000"/>
      <w:sz w:val="32"/>
      <w:szCs w:val="32"/>
    </w:rPr>
  </w:style>
  <w:style w:type="character" w:customStyle="1" w:styleId="11">
    <w:name w:val="fontstyle11"/>
    <w:basedOn w:val="7"/>
    <w:qFormat/>
    <w:uiPriority w:val="0"/>
    <w:rPr>
      <w:rFonts w:ascii="黑体" w:hAnsi="宋体" w:eastAsia="黑体" w:cs="黑体"/>
      <w:color w:val="000000"/>
      <w:sz w:val="32"/>
      <w:szCs w:val="32"/>
    </w:rPr>
  </w:style>
  <w:style w:type="character" w:customStyle="1" w:styleId="12">
    <w:name w:val="批注框文本 字符"/>
    <w:basedOn w:val="7"/>
    <w:link w:val="3"/>
    <w:qFormat/>
    <w:uiPriority w:val="0"/>
    <w:rPr>
      <w:rFonts w:asciiTheme="minorHAnsi" w:hAnsiTheme="minorHAnsi" w:eastAsiaTheme="minorEastAsia" w:cstheme="minorBidi"/>
      <w:kern w:val="2"/>
      <w:sz w:val="18"/>
      <w:szCs w:val="18"/>
    </w:rPr>
  </w:style>
  <w:style w:type="character" w:customStyle="1" w:styleId="13">
    <w:name w:val="页眉 字符"/>
    <w:basedOn w:val="7"/>
    <w:link w:val="5"/>
    <w:qFormat/>
    <w:uiPriority w:val="0"/>
    <w:rPr>
      <w:rFonts w:asciiTheme="minorHAnsi" w:hAnsiTheme="minorHAnsi" w:eastAsiaTheme="minorEastAsia" w:cstheme="minorBidi"/>
      <w:kern w:val="2"/>
      <w:sz w:val="18"/>
      <w:szCs w:val="18"/>
    </w:rPr>
  </w:style>
  <w:style w:type="character" w:customStyle="1" w:styleId="14">
    <w:name w:val="页脚 字符"/>
    <w:basedOn w:val="7"/>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4</Pages>
  <Words>1743</Words>
  <Characters>1867</Characters>
  <Lines>7</Lines>
  <Paragraphs>2</Paragraphs>
  <TotalTime>89</TotalTime>
  <ScaleCrop>false</ScaleCrop>
  <LinksUpToDate>false</LinksUpToDate>
  <CharactersWithSpaces>1916</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2019-11-20T03:19:00Z</dcterms:created>
  <dc:creator>Administrator</dc:creator>
  <cp:lastModifiedBy>红梅</cp:lastModifiedBy>
  <cp:lastPrinted>2022-04-05T07:11:49Z</cp:lastPrinted>
  <dcterms:modified xsi:type="dcterms:W3CDTF">2022-04-05T07:15:12Z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7DF8397A811D4C858B0F83048AB347F7</vt:lpwstr>
  </property>
</Properties>
</file>